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4">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„Poskytovatel“),</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B">
      <w:pPr>
        <w:spacing w:befor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se sídlem XXXXXXXX</w:t>
      </w:r>
      <w:r w:rsidDel="00000000" w:rsidR="00000000" w:rsidRPr="00000000">
        <w:rPr>
          <w:rtl w:val="0"/>
        </w:rPr>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zastoupená: XXXXXXXX </w:t>
      </w:r>
      <w:r w:rsidDel="00000000" w:rsidR="00000000" w:rsidRPr="00000000">
        <w:rPr>
          <w:rtl w:val="0"/>
        </w:rPr>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r w:rsidDel="00000000" w:rsidR="00000000" w:rsidRPr="00000000">
        <w:rPr>
          <w:rtl w:val="0"/>
        </w:rPr>
      </w:r>
    </w:p>
    <w:p w:rsidR="00000000" w:rsidDel="00000000" w:rsidP="00000000" w:rsidRDefault="00000000" w:rsidRPr="00000000" w14:paraId="00000014">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číslo účtu: XXXXXXXX</w:t>
      </w:r>
      <w:r w:rsidDel="00000000" w:rsidR="00000000" w:rsidRPr="00000000">
        <w:rPr>
          <w:rtl w:val="0"/>
        </w:rPr>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rtl w:val="0"/>
        </w:rPr>
        <w:t xml:space="preserve">jako hlavnímu příjemci / dalšímu účastníku projektu (dále jen „Příjemce“)</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7">
      <w:pPr>
        <w:spacing w:after="60" w:lineRule="auto"/>
        <w:rPr>
          <w:rFonts w:ascii="Calibri" w:cs="Calibri" w:eastAsia="Calibri" w:hAnsi="Calibri"/>
        </w:rPr>
      </w:pPr>
      <w:r w:rsidDel="00000000" w:rsidR="00000000" w:rsidRPr="00000000">
        <w:rPr>
          <w:rFonts w:ascii="Calibri" w:cs="Calibri" w:eastAsia="Calibri" w:hAnsi="Calibri"/>
          <w:rtl w:val="0"/>
        </w:rPr>
        <w:t xml:space="preserve">Posyktovatel přijal návrh projektu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 souladu s § 9 ZPVV proto Poskytovatel vydává toto Rozhodnutí. Veškeré pojmy použité v Rozhodnutí definujeme ve Všeobecných podmínkách.</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A">
      <w:pPr>
        <w:numPr>
          <w:ilvl w:val="0"/>
          <w:numId w:val="6"/>
        </w:numPr>
        <w:ind w:left="360" w:hanging="360"/>
        <w:rPr/>
      </w:pPr>
      <w:r w:rsidDel="00000000" w:rsidR="00000000" w:rsidRPr="00000000">
        <w:rPr>
          <w:rFonts w:ascii="Calibri" w:cs="Calibri" w:eastAsia="Calibri" w:hAnsi="Calibri"/>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r w:rsidDel="00000000" w:rsidR="00000000" w:rsidRPr="00000000">
        <w:rPr>
          <w:rtl w:val="0"/>
        </w:rPr>
      </w:r>
    </w:p>
    <w:p w:rsidR="00000000" w:rsidDel="00000000" w:rsidP="00000000" w:rsidRDefault="00000000" w:rsidRPr="00000000" w14:paraId="0000001B">
      <w:pPr>
        <w:numPr>
          <w:ilvl w:val="0"/>
          <w:numId w:val="6"/>
        </w:numPr>
        <w:ind w:left="360" w:hanging="360"/>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 </w:t>
      </w:r>
      <w:r w:rsidDel="00000000" w:rsidR="00000000" w:rsidRPr="00000000">
        <w:rPr>
          <w:rtl w:val="0"/>
        </w:rPr>
      </w:r>
    </w:p>
    <w:p w:rsidR="00000000" w:rsidDel="00000000" w:rsidP="00000000" w:rsidRDefault="00000000" w:rsidRPr="00000000" w14:paraId="0000001C">
      <w:pPr>
        <w:numPr>
          <w:ilvl w:val="0"/>
          <w:numId w:val="6"/>
        </w:numPr>
        <w:ind w:left="360" w:hanging="360"/>
        <w:rPr/>
      </w:pPr>
      <w:r w:rsidDel="00000000" w:rsidR="00000000" w:rsidRPr="00000000">
        <w:rPr>
          <w:rFonts w:ascii="Calibri" w:cs="Calibri" w:eastAsia="Calibri" w:hAnsi="Calibri"/>
          <w:rtl w:val="0"/>
        </w:rPr>
        <w:t xml:space="preserve">Podporu poskytneme formou zvýšení výdajů organizační složky státu, která je Příjemcem, ve smyslu § 4 odst. 1 ZPVV.</w:t>
      </w: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1F">
      <w:pPr>
        <w:numPr>
          <w:ilvl w:val="0"/>
          <w:numId w:val="5"/>
        </w:numPr>
        <w:ind w:left="360" w:hanging="360"/>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r w:rsidDel="00000000" w:rsidR="00000000" w:rsidRPr="00000000">
        <w:rPr>
          <w:rtl w:val="0"/>
        </w:rPr>
      </w:r>
    </w:p>
    <w:p w:rsidR="00000000" w:rsidDel="00000000" w:rsidP="00000000" w:rsidRDefault="00000000" w:rsidRPr="00000000" w14:paraId="00000020">
      <w:pPr>
        <w:numPr>
          <w:ilvl w:val="0"/>
          <w:numId w:val="5"/>
        </w:numPr>
        <w:ind w:left="360" w:hanging="360"/>
        <w:rPr/>
      </w:pPr>
      <w:r w:rsidDel="00000000" w:rsidR="00000000" w:rsidRPr="00000000">
        <w:rPr>
          <w:rFonts w:ascii="Calibri" w:cs="Calibri" w:eastAsia="Calibri" w:hAnsi="Calibri"/>
          <w:rtl w:val="0"/>
        </w:rPr>
        <w:t xml:space="preserve">Maximální výše uznaných nákladů projektu činí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1">
      <w:pPr>
        <w:numPr>
          <w:ilvl w:val="0"/>
          <w:numId w:val="5"/>
        </w:numPr>
        <w:ind w:left="360" w:hanging="360"/>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 uznaných nákladů projektu.</w:t>
      </w:r>
      <w:r w:rsidDel="00000000" w:rsidR="00000000" w:rsidRPr="00000000">
        <w:rPr>
          <w:rtl w:val="0"/>
        </w:rPr>
      </w:r>
    </w:p>
    <w:p w:rsidR="00000000" w:rsidDel="00000000" w:rsidP="00000000" w:rsidRDefault="00000000" w:rsidRPr="00000000" w14:paraId="0000002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4">
      <w:pPr>
        <w:numPr>
          <w:ilvl w:val="0"/>
          <w:numId w:val="2"/>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Nedílnou součástí Rozhodnutí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5">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našich webových stránkách</w:t>
      </w: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26">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použijeme přednostně ustanovení Rozhodnutí,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7">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gjdgxs" w:id="0"/>
    <w:bookmarkEnd w:id="0"/>
    <w:p w:rsidR="00000000" w:rsidDel="00000000" w:rsidP="00000000" w:rsidRDefault="00000000" w:rsidRPr="00000000" w14:paraId="0000002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9">
      <w:pPr>
        <w:numPr>
          <w:ilvl w:val="0"/>
          <w:numId w:val="4"/>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A">
      <w:pPr>
        <w:numPr>
          <w:ilvl w:val="0"/>
          <w:numId w:val="4"/>
        </w:numPr>
        <w:ind w:left="425" w:hanging="425"/>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r w:rsidDel="00000000" w:rsidR="00000000" w:rsidRPr="00000000">
        <w:rPr>
          <w:rtl w:val="0"/>
        </w:rPr>
      </w:r>
    </w:p>
    <w:p w:rsidR="00000000" w:rsidDel="00000000" w:rsidP="00000000" w:rsidRDefault="00000000" w:rsidRPr="00000000" w14:paraId="0000002B">
      <w:pPr>
        <w:numPr>
          <w:ilvl w:val="0"/>
          <w:numId w:val="4"/>
        </w:numPr>
        <w:ind w:left="425" w:hanging="425"/>
        <w:rPr/>
      </w:pPr>
      <w:r w:rsidDel="00000000" w:rsidR="00000000" w:rsidRPr="00000000">
        <w:rPr>
          <w:rFonts w:ascii="Calibri" w:cs="Calibri" w:eastAsia="Calibri" w:hAnsi="Calibri"/>
          <w:rtl w:val="0"/>
        </w:rPr>
        <w:t xml:space="preserve">Nad rámec Všeobecných podmínek má Hlavní příjemce povinnost dle zákona č. 563/1991 Sb., o účetnictví zveřejňovat účetní závěrku v příslušném rejstříku ve smyslu zákona č. 304/2013 Sb., o veřejných rejstřících právnických a fyzických osob, a to po celou dobu řešení projektu.</w:t>
      </w:r>
      <w:r w:rsidDel="00000000" w:rsidR="00000000" w:rsidRPr="00000000">
        <w:rPr>
          <w:rtl w:val="0"/>
        </w:rPr>
      </w:r>
    </w:p>
    <w:p w:rsidR="00000000" w:rsidDel="00000000" w:rsidP="00000000" w:rsidRDefault="00000000" w:rsidRPr="00000000" w14:paraId="0000002C">
      <w:pPr>
        <w:numPr>
          <w:ilvl w:val="0"/>
          <w:numId w:val="4"/>
        </w:numPr>
        <w:spacing w:after="120" w:lineRule="auto"/>
        <w:ind w:left="425" w:hanging="425"/>
        <w:rPr/>
      </w:pPr>
      <w:r w:rsidDel="00000000" w:rsidR="00000000" w:rsidRPr="00000000">
        <w:rPr>
          <w:rFonts w:ascii="Calibri" w:cs="Calibri" w:eastAsia="Calibri" w:hAnsi="Calibri"/>
          <w:rtl w:val="0"/>
        </w:rPr>
        <w:t xml:space="preserve">Článek 2 Všeobecných podmínek „Vymezení pojmů” se doplňuje o tyto pojmy: </w:t>
      </w:r>
      <w:r w:rsidDel="00000000" w:rsidR="00000000" w:rsidRPr="00000000">
        <w:rPr>
          <w:rtl w:val="0"/>
        </w:rPr>
      </w:r>
    </w:p>
    <w:p w:rsidR="00000000" w:rsidDel="00000000" w:rsidP="00000000" w:rsidRDefault="00000000" w:rsidRPr="00000000" w14:paraId="0000002D">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E">
      <w:pPr>
        <w:ind w:left="850"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2F">
      <w:pPr>
        <w:numPr>
          <w:ilvl w:val="0"/>
          <w:numId w:val="4"/>
        </w:numPr>
        <w:ind w:left="425" w:hanging="425"/>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30">
      <w:pPr>
        <w:numPr>
          <w:ilvl w:val="0"/>
          <w:numId w:val="4"/>
        </w:numPr>
        <w:spacing w:after="120" w:lineRule="auto"/>
        <w:ind w:left="425" w:right="-182" w:hanging="425"/>
        <w:rPr/>
      </w:pPr>
      <w:bookmarkStart w:colFirst="0" w:colLast="0" w:name="_30j0zll" w:id="1"/>
      <w:bookmarkEnd w:id="1"/>
      <w:r w:rsidDel="00000000" w:rsidR="00000000" w:rsidRPr="00000000">
        <w:rPr>
          <w:rFonts w:ascii="Calibri" w:cs="Calibri" w:eastAsia="Calibri" w:hAnsi="Calibri"/>
          <w:rtl w:val="0"/>
        </w:rPr>
        <w:t xml:space="preserve"> Čl. 11 Všeobecných podmínek se doplňuje o nový odst. 5, který zní:</w:t>
      </w:r>
      <w:r w:rsidDel="00000000" w:rsidR="00000000" w:rsidRPr="00000000">
        <w:rPr>
          <w:rtl w:val="0"/>
        </w:rPr>
      </w:r>
    </w:p>
    <w:p w:rsidR="00000000" w:rsidDel="00000000" w:rsidP="00000000" w:rsidRDefault="00000000" w:rsidRPr="00000000" w14:paraId="00000031">
      <w:pPr>
        <w:spacing w:after="120" w:lineRule="auto"/>
        <w:ind w:left="850" w:right="-182" w:firstLine="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p>
    <w:p w:rsidR="00000000" w:rsidDel="00000000" w:rsidP="00000000" w:rsidRDefault="00000000" w:rsidRPr="00000000" w14:paraId="00000032">
      <w:pPr>
        <w:keepNext w:val="1"/>
        <w:keepLines w:val="1"/>
        <w:numPr>
          <w:ilvl w:val="0"/>
          <w:numId w:val="4"/>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33">
      <w:pPr>
        <w:numPr>
          <w:ilvl w:val="0"/>
          <w:numId w:val="4"/>
        </w:numPr>
        <w:spacing w:line="240" w:lineRule="auto"/>
        <w:ind w:left="425" w:hanging="425"/>
        <w:rPr/>
      </w:pPr>
      <w:r w:rsidDel="00000000" w:rsidR="00000000" w:rsidRPr="00000000">
        <w:rPr>
          <w:rFonts w:ascii="Calibri" w:cs="Calibri" w:eastAsia="Calibri" w:hAnsi="Calibri"/>
          <w:rtl w:val="0"/>
        </w:rPr>
        <w:t xml:space="preserve">  Čl. 14 Všeobecných podmínek se doplňuje o nový odst. 5, který zní:</w:t>
      </w:r>
      <w:r w:rsidDel="00000000" w:rsidR="00000000" w:rsidRPr="00000000">
        <w:rPr>
          <w:rtl w:val="0"/>
        </w:rPr>
      </w:r>
    </w:p>
    <w:p w:rsidR="00000000" w:rsidDel="00000000" w:rsidP="00000000" w:rsidRDefault="00000000" w:rsidRPr="00000000" w14:paraId="00000034">
      <w:pPr>
        <w:spacing w:line="240" w:lineRule="auto"/>
        <w:ind w:left="850"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5">
      <w:pPr>
        <w:numPr>
          <w:ilvl w:val="0"/>
          <w:numId w:val="4"/>
        </w:numPr>
        <w:ind w:left="425" w:hanging="425"/>
        <w:rPr/>
      </w:pPr>
      <w:r w:rsidDel="00000000" w:rsidR="00000000" w:rsidRPr="00000000">
        <w:rPr>
          <w:rFonts w:ascii="Calibri" w:cs="Calibri" w:eastAsia="Calibri" w:hAnsi="Calibri"/>
          <w:rtl w:val="0"/>
        </w:rPr>
        <w:t xml:space="preserve"> Čl. 17 Všeobecných podmínek se doplňuje o nový odst. 11, který zní:</w:t>
      </w:r>
      <w:r w:rsidDel="00000000" w:rsidR="00000000" w:rsidRPr="00000000">
        <w:rPr>
          <w:rtl w:val="0"/>
        </w:rPr>
      </w:r>
    </w:p>
    <w:p w:rsidR="00000000" w:rsidDel="00000000" w:rsidP="00000000" w:rsidRDefault="00000000" w:rsidRPr="00000000" w14:paraId="00000036">
      <w:pPr>
        <w:ind w:left="850"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7">
      <w:pPr>
        <w:numPr>
          <w:ilvl w:val="0"/>
          <w:numId w:val="4"/>
        </w:numPr>
        <w:ind w:left="425" w:hanging="425"/>
        <w:rPr/>
      </w:pPr>
      <w:r w:rsidDel="00000000" w:rsidR="00000000" w:rsidRPr="00000000">
        <w:rPr>
          <w:rFonts w:ascii="Calibri" w:cs="Calibri" w:eastAsia="Calibri" w:hAnsi="Calibri"/>
          <w:rtl w:val="0"/>
        </w:rPr>
        <w:t xml:space="preserve">Poskytovatel se zavazuje poskytnout podporu v každém roce řešení ve výši uvedené v Závazných parametrech řešení projektu</w:t>
      </w:r>
      <w:r w:rsidDel="00000000" w:rsidR="00000000" w:rsidRPr="00000000">
        <w:rPr>
          <w:rtl w:val="0"/>
        </w:rPr>
      </w:r>
    </w:p>
    <w:p w:rsidR="00000000" w:rsidDel="00000000" w:rsidP="00000000" w:rsidRDefault="00000000" w:rsidRPr="00000000" w14:paraId="00000038">
      <w:pPr>
        <w:numPr>
          <w:ilvl w:val="1"/>
          <w:numId w:val="4"/>
        </w:numPr>
        <w:ind w:left="1440" w:right="566" w:hanging="360"/>
        <w:rPr>
          <w:rFonts w:ascii="Calibri" w:cs="Calibri" w:eastAsia="Calibri" w:hAnsi="Calibri"/>
        </w:rPr>
      </w:pPr>
      <w:r w:rsidDel="00000000" w:rsidR="00000000" w:rsidRPr="00000000">
        <w:rPr>
          <w:rFonts w:ascii="Calibri" w:cs="Calibri" w:eastAsia="Calibri" w:hAnsi="Calibri"/>
          <w:rtl w:val="0"/>
        </w:rPr>
        <w:t xml:space="preserve">do 60 kalendářních dnů ode dne nabytí účinnosti Smlouvy a</w:t>
      </w:r>
    </w:p>
    <w:p w:rsidR="00000000" w:rsidDel="00000000" w:rsidP="00000000" w:rsidRDefault="00000000" w:rsidRPr="00000000" w14:paraId="00000039">
      <w:pPr>
        <w:numPr>
          <w:ilvl w:val="1"/>
          <w:numId w:val="4"/>
        </w:numPr>
        <w:ind w:left="1440" w:right="566" w:hanging="360"/>
        <w:rPr>
          <w:rFonts w:ascii="Calibri" w:cs="Calibri" w:eastAsia="Calibri" w:hAnsi="Calibri"/>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p>
    <w:p w:rsidR="00000000" w:rsidDel="00000000" w:rsidP="00000000" w:rsidRDefault="00000000" w:rsidRPr="00000000" w14:paraId="0000003A">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r w:rsidDel="00000000" w:rsidR="00000000" w:rsidRPr="00000000">
        <w:rPr>
          <w:rtl w:val="0"/>
        </w:rPr>
      </w:r>
    </w:p>
    <w:p w:rsidR="00000000" w:rsidDel="00000000" w:rsidP="00000000" w:rsidRDefault="00000000" w:rsidRPr="00000000" w14:paraId="0000003B">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C">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spacing w:before="360" w:lineRule="auto"/>
        <w:jc w:val="center"/>
        <w:rPr>
          <w:rFonts w:ascii="Calibri" w:cs="Calibri" w:eastAsia="Calibri" w:hAnsi="Calibri"/>
        </w:rPr>
      </w:pPr>
      <w:bookmarkStart w:colFirst="0" w:colLast="0" w:name="_1fob9te" w:id="2"/>
      <w:bookmarkEnd w:id="2"/>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3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3F">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Příjemci.</w:t>
      </w:r>
      <w:r w:rsidDel="00000000" w:rsidR="00000000" w:rsidRPr="00000000">
        <w:rPr>
          <w:rtl w:val="0"/>
        </w:rPr>
      </w:r>
    </w:p>
    <w:p w:rsidR="00000000" w:rsidDel="00000000" w:rsidP="00000000" w:rsidRDefault="00000000" w:rsidRPr="00000000" w14:paraId="00000040">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vydáváme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6"/>
          <w:numId w:val="3"/>
        </w:numPr>
        <w:spacing w:before="0" w:line="240" w:lineRule="auto"/>
        <w:ind w:left="5040" w:firstLine="1476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4">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45">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6">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7">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předseda/předsedkyně TA ČR</w:t>
            </w:r>
          </w:p>
        </w:tc>
      </w:tr>
    </w:tbl>
    <w:bookmarkStart w:colFirst="0" w:colLast="0" w:name="3znysh7" w:id="3"/>
    <w:bookmarkEnd w:id="3"/>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2et92p0" w:id="4"/>
    <w:bookmarkEnd w:id="4"/>
    <w:r w:rsidDel="00000000" w:rsidR="00000000" w:rsidRPr="00000000">
      <w:rPr>
        <w:rFonts w:ascii="Calibri" w:cs="Calibri" w:eastAsia="Calibri" w:hAnsi="Calibri"/>
        <w:sz w:val="16"/>
        <w:szCs w:val="16"/>
        <w:rtl w:val="0"/>
      </w:rPr>
      <w:t xml:space="preserve">F-353, verze 4</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536"/>
        <w:tab w:val="right" w:leader="none" w:pos="9072"/>
      </w:tabs>
      <w:spacing w:before="1134" w:line="240" w:lineRule="auto"/>
      <w:jc w:val="right"/>
      <w:rPr/>
    </w:pPr>
    <w:r w:rsidDel="00000000" w:rsidR="00000000" w:rsidRPr="00000000">
      <w:rPr>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-892165</wp:posOffset>
          </wp:positionH>
          <wp:positionV relativeFrom="paragraph">
            <wp:posOffset>-441952</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4B">
    <w:pPr>
      <w:tabs>
        <w:tab w:val="center" w:leader="none" w:pos="4536"/>
        <w:tab w:val="right" w:leader="none" w:pos="9072"/>
      </w:tabs>
      <w:spacing w:before="0" w:line="240" w:lineRule="auto"/>
      <w:jc w:val="right"/>
      <w:rPr>
        <w:b w:val="1"/>
        <w:sz w:val="16"/>
        <w:szCs w:val="16"/>
      </w:rPr>
    </w:pPr>
    <w:r w:rsidDel="00000000" w:rsidR="00000000" w:rsidRPr="00000000">
      <w:rPr>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p w:rsidR="00000000" w:rsidDel="00000000" w:rsidP="00000000" w:rsidRDefault="00000000" w:rsidRPr="00000000" w14:paraId="0000004C">
    <w:pPr>
      <w:tabs>
        <w:tab w:val="center" w:leader="none" w:pos="4536"/>
        <w:tab w:val="right" w:leader="none" w:pos="9072"/>
      </w:tabs>
      <w:spacing w:before="0"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